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43" w:rsidRPr="009D0F43" w:rsidRDefault="009D0F43" w:rsidP="009D0F43">
      <w:pPr>
        <w:spacing w:line="384" w:lineRule="atLeast"/>
        <w:jc w:val="center"/>
        <w:outlineLvl w:val="2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9D0F43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Единый государственный экзамен</w:t>
      </w:r>
    </w:p>
    <w:p w:rsidR="009D0F43" w:rsidRPr="009D0F43" w:rsidRDefault="009D0F43" w:rsidP="009D0F43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9D0F43">
          <w:rPr>
            <w:rFonts w:ascii="Arial" w:eastAsia="Times New Roman" w:hAnsi="Arial" w:cs="Arial"/>
            <w:color w:val="FFFFFF"/>
            <w:sz w:val="23"/>
            <w:szCs w:val="23"/>
            <w:shd w:val="clear" w:color="auto" w:fill="6EC1E4"/>
            <w:lang w:eastAsia="ru-RU"/>
          </w:rPr>
          <w:t>Проверить результаты</w:t>
        </w:r>
      </w:hyperlink>
    </w:p>
    <w:p w:rsidR="009D0F43" w:rsidRPr="009D0F43" w:rsidRDefault="009D0F43" w:rsidP="009D0F43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D0F43">
          <w:rPr>
            <w:rFonts w:ascii="Arial" w:eastAsia="Times New Roman" w:hAnsi="Arial" w:cs="Arial"/>
            <w:color w:val="FFFFFF"/>
            <w:sz w:val="23"/>
            <w:szCs w:val="23"/>
            <w:shd w:val="clear" w:color="auto" w:fill="6EC1E4"/>
            <w:lang w:eastAsia="ru-RU"/>
          </w:rPr>
          <w:t>Нормативные документы</w:t>
        </w:r>
      </w:hyperlink>
    </w:p>
    <w:p w:rsidR="009D0F43" w:rsidRPr="009D0F43" w:rsidRDefault="009D0F43" w:rsidP="009D0F43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D0F43">
          <w:rPr>
            <w:rFonts w:ascii="Arial" w:eastAsia="Times New Roman" w:hAnsi="Arial" w:cs="Arial"/>
            <w:color w:val="FFFFFF"/>
            <w:sz w:val="23"/>
            <w:szCs w:val="23"/>
            <w:shd w:val="clear" w:color="auto" w:fill="6EC1E4"/>
            <w:lang w:eastAsia="ru-RU"/>
          </w:rPr>
          <w:t>Методические материалы</w:t>
        </w:r>
      </w:hyperlink>
    </w:p>
    <w:p w:rsidR="009D0F43" w:rsidRPr="009D0F43" w:rsidRDefault="009D0F43" w:rsidP="009D0F43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D0F43">
          <w:rPr>
            <w:rFonts w:ascii="Arial" w:eastAsia="Times New Roman" w:hAnsi="Arial" w:cs="Arial"/>
            <w:color w:val="FFFFFF"/>
            <w:sz w:val="23"/>
            <w:szCs w:val="23"/>
            <w:shd w:val="clear" w:color="auto" w:fill="6EC1E4"/>
            <w:lang w:eastAsia="ru-RU"/>
          </w:rPr>
          <w:t>Участнику</w:t>
        </w:r>
      </w:hyperlink>
    </w:p>
    <w:p w:rsidR="009D0F43" w:rsidRPr="009D0F43" w:rsidRDefault="009D0F43" w:rsidP="009D0F43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9D0F43">
          <w:rPr>
            <w:rFonts w:ascii="Arial" w:eastAsia="Times New Roman" w:hAnsi="Arial" w:cs="Arial"/>
            <w:color w:val="FFFFFF"/>
            <w:sz w:val="23"/>
            <w:szCs w:val="23"/>
            <w:shd w:val="clear" w:color="auto" w:fill="6EC1E4"/>
            <w:lang w:eastAsia="ru-RU"/>
          </w:rPr>
          <w:t>Работникам</w:t>
        </w:r>
      </w:hyperlink>
    </w:p>
    <w:p w:rsidR="009D0F43" w:rsidRPr="009D0F43" w:rsidRDefault="009D0F43" w:rsidP="009D0F43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9D0F43">
          <w:rPr>
            <w:rFonts w:ascii="Arial" w:eastAsia="Times New Roman" w:hAnsi="Arial" w:cs="Arial"/>
            <w:color w:val="FFFFFF"/>
            <w:sz w:val="23"/>
            <w:szCs w:val="23"/>
            <w:shd w:val="clear" w:color="auto" w:fill="6EC1E4"/>
            <w:lang w:eastAsia="ru-RU"/>
          </w:rPr>
          <w:t>Общественному наблюдателю</w:t>
        </w:r>
      </w:hyperlink>
    </w:p>
    <w:p w:rsidR="009D0F43" w:rsidRPr="009D0F43" w:rsidRDefault="009D0F43" w:rsidP="009D0F43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9D0F43">
          <w:rPr>
            <w:rFonts w:ascii="Arial" w:eastAsia="Times New Roman" w:hAnsi="Arial" w:cs="Arial"/>
            <w:color w:val="FFFFFF"/>
            <w:sz w:val="23"/>
            <w:szCs w:val="23"/>
            <w:shd w:val="clear" w:color="auto" w:fill="6EC1E4"/>
            <w:lang w:eastAsia="ru-RU"/>
          </w:rPr>
          <w:t>Программы</w:t>
        </w:r>
      </w:hyperlink>
    </w:p>
    <w:p w:rsidR="009D0F43" w:rsidRPr="009D0F43" w:rsidRDefault="009D0F43" w:rsidP="009D0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9D0F43">
          <w:rPr>
            <w:rFonts w:ascii="Arial" w:eastAsia="Times New Roman" w:hAnsi="Arial" w:cs="Arial"/>
            <w:color w:val="FFFFFF"/>
            <w:sz w:val="23"/>
            <w:szCs w:val="23"/>
            <w:shd w:val="clear" w:color="auto" w:fill="6EC1E4"/>
            <w:lang w:eastAsia="ru-RU"/>
          </w:rPr>
          <w:t>Тренировочное тестирование</w:t>
        </w:r>
      </w:hyperlink>
    </w:p>
    <w:p w:rsidR="009D0F43" w:rsidRPr="009D0F43" w:rsidRDefault="009D0F43" w:rsidP="009D0F43">
      <w:pPr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D0F43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О сроках и местах подачи заявлений на сдачу ГИА, местах регистрации на сдачу ЕГЭ</w:t>
      </w:r>
    </w:p>
    <w:tbl>
      <w:tblPr>
        <w:tblW w:w="11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4219"/>
        <w:gridCol w:w="2613"/>
        <w:gridCol w:w="3478"/>
      </w:tblGrid>
      <w:tr w:rsidR="009D0F43" w:rsidRPr="009D0F43" w:rsidTr="009D0F43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участника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регистрация</w:t>
            </w: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9D0F43" w:rsidRPr="009D0F43" w:rsidTr="009D0F43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Обучающиеся, осваивающие основные общеобразовательные программы среднего общего образования (далее – выпускники текущего года)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 февраля включительно (после 1 февраля заявления об участии в ГИА принимаются по решению ГЭК только при наличии у заявителей уважительных причин, подтвержденных документально, не позднее чем за две недели до начала соответствующего экзамена)</w:t>
            </w: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Образовательная организация, в которой осваиваются основные общеобразовательные программы среднего общего образования</w:t>
            </w:r>
          </w:p>
        </w:tc>
      </w:tr>
      <w:tr w:rsidR="009D0F43" w:rsidRPr="009D0F43" w:rsidTr="009D0F43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Лица, обучающиеся в форме семейного образования или самообразования, лица, </w:t>
            </w: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обучающиеся в организации, осуществляющей образовательную деятельность по не имеющей государственную аккредитацию образовательной программе среднего общего образования (экстерн)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Образовательная организация, осуществляющая </w:t>
            </w: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образовательную деятельность по имеющей государственную аккредитацию образовательной программе среднего общего образования</w:t>
            </w:r>
          </w:p>
        </w:tc>
      </w:tr>
      <w:tr w:rsidR="009D0F43" w:rsidRPr="009D0F43" w:rsidTr="009D0F43">
        <w:tc>
          <w:tcPr>
            <w:tcW w:w="795" w:type="dxa"/>
            <w:vMerge w:val="restart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40" w:type="dxa"/>
            <w:vMerge w:val="restart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Обучающиеся по образовательным программам среднего профессионального образования</w:t>
            </w:r>
          </w:p>
        </w:tc>
        <w:tc>
          <w:tcPr>
            <w:tcW w:w="1560" w:type="dxa"/>
            <w:vMerge w:val="restart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участников ГИА – образовательная организация, осуществляющая образовательную деятельность по имеющей государственную аккредитацию образовательной программе среднего общего образования (экстерн)</w:t>
            </w:r>
          </w:p>
        </w:tc>
      </w:tr>
      <w:tr w:rsidR="009D0F43" w:rsidRPr="009D0F43" w:rsidTr="009D0F43"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0F43" w:rsidRPr="009D0F43" w:rsidRDefault="009D0F43" w:rsidP="009D0F43">
            <w:pPr>
              <w:spacing w:before="225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0F43" w:rsidRPr="009D0F43" w:rsidRDefault="009D0F43" w:rsidP="009D0F43">
            <w:pPr>
              <w:spacing w:before="225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0F43" w:rsidRPr="009D0F43" w:rsidRDefault="009D0F43" w:rsidP="009D0F43">
            <w:pPr>
              <w:spacing w:before="225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участников ЕГЭ – ГКОУ АО ДПО «Центр мониторинга в образовании»</w:t>
            </w:r>
          </w:p>
        </w:tc>
      </w:tr>
      <w:tr w:rsidR="009D0F43" w:rsidRPr="009D0F43" w:rsidTr="009D0F43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Выпускники прошлых лет, имеющие документ о среднем общем образовании, среднем профессиональном образовании, в том числе при наличии у них действующих результатов ЕГЭ прошлых лет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ГКОУ АО ДПО «Центр мониторинга в образовании»</w:t>
            </w:r>
          </w:p>
        </w:tc>
      </w:tr>
      <w:tr w:rsidR="009D0F43" w:rsidRPr="009D0F43" w:rsidTr="009D0F43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Выпускники, не прошедшие ГИА и не получившие документ государственного образца о среднем (полном) общем образовании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Образовательная организация, в которой осваивались основные общеобразовательные программы среднего общего образования</w:t>
            </w:r>
          </w:p>
        </w:tc>
      </w:tr>
      <w:tr w:rsidR="009D0F43" w:rsidRPr="009D0F43" w:rsidTr="009D0F43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after="0" w:line="420" w:lineRule="atLeast"/>
              <w:rPr>
                <w:rFonts w:ascii="Arial" w:eastAsia="Times New Roman" w:hAnsi="Arial" w:cs="Arial"/>
                <w:color w:val="3A3A3A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color w:val="3A3A3A"/>
                <w:sz w:val="24"/>
                <w:szCs w:val="24"/>
                <w:lang w:eastAsia="ru-RU"/>
              </w:rPr>
              <w:t>Граждане, имеющие среднее общее образование, полученное в иностранных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after="0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after="0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ГКОУ АО ДПО «Центр мониторинга в образовании»</w:t>
            </w:r>
          </w:p>
        </w:tc>
        <w:bookmarkStart w:id="0" w:name="_GoBack"/>
        <w:bookmarkEnd w:id="0"/>
      </w:tr>
      <w:tr w:rsidR="009D0F43" w:rsidRPr="009D0F43" w:rsidTr="009D0F43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after="0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after="0" w:line="420" w:lineRule="atLeast"/>
              <w:rPr>
                <w:rFonts w:ascii="Arial" w:eastAsia="Times New Roman" w:hAnsi="Arial" w:cs="Arial"/>
                <w:color w:val="3A3A3A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color w:val="3A3A3A"/>
                <w:sz w:val="24"/>
                <w:szCs w:val="24"/>
                <w:lang w:eastAsia="ru-RU"/>
              </w:rPr>
              <w:t>Обучающиеся, получающие среднее общее образование в иностранных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after="0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0F43" w:rsidRPr="009D0F43" w:rsidRDefault="009D0F43" w:rsidP="009D0F43">
            <w:pPr>
              <w:spacing w:after="0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D0F43" w:rsidRPr="009D0F43" w:rsidRDefault="009D0F43" w:rsidP="009D0F43">
      <w:pPr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D0F43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О сроках, местах и порядке информирования о результатах экзаменов</w:t>
      </w:r>
    </w:p>
    <w:p w:rsidR="009D0F43" w:rsidRPr="009D0F43" w:rsidRDefault="009D0F43" w:rsidP="009D0F43">
      <w:pPr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D0F43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Утверждение результатов ГИА осуществляется в течение одного рабочего дня с момента получения результатов проверки экзаменационных работ.</w:t>
      </w:r>
    </w:p>
    <w:p w:rsidR="009D0F43" w:rsidRPr="009D0F43" w:rsidRDefault="009D0F43" w:rsidP="009D0F43">
      <w:pPr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D0F43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После утверждения результаты ГИА в течение одного рабочего дня передаются в образовательные организации для ознакомления обучающихся с утвержденными результатами ГИА.</w:t>
      </w:r>
    </w:p>
    <w:p w:rsidR="009D0F43" w:rsidRPr="009D0F43" w:rsidRDefault="009D0F43" w:rsidP="009D0F43">
      <w:pPr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D0F43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Ознакомление участников ГИА (ЕГЭ) с утвержденными Председателем ГЭК результатами экзаменов по каждому учебному предмету осуществляется в течение одного рабочего дня в местах подачи заявления на сдачу ГИА (ЕГЭ).</w:t>
      </w:r>
    </w:p>
    <w:p w:rsidR="009D0F43" w:rsidRPr="009D0F43" w:rsidRDefault="009D0F43" w:rsidP="009D0F43">
      <w:pPr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D0F43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Для ознакомления с результатами единого государственного экзамена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 участник единого государственного экзамена должен перейти по ссылке </w:t>
      </w:r>
      <w:hyperlink r:id="rId12" w:tgtFrame="_blank" w:history="1">
        <w:r w:rsidRPr="009D0F4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http://check.ege.edu.ru</w:t>
        </w:r>
      </w:hyperlink>
      <w:r w:rsidRPr="009D0F43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/ и пройти процедуру регистрации, заполнив все необходимые графы.</w:t>
      </w:r>
    </w:p>
    <w:p w:rsidR="009A524A" w:rsidRDefault="009A524A"/>
    <w:sectPr w:rsidR="009A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D0"/>
    <w:rsid w:val="009A524A"/>
    <w:rsid w:val="009D0F43"/>
    <w:rsid w:val="00C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3DA41-D1A5-4387-847D-3C44340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98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8137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83291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036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2383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7167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0004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cmo.ru/worker_eg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trcmo.ru/part_ege" TargetMode="External"/><Relationship Id="rId12" Type="http://schemas.openxmlformats.org/officeDocument/2006/relationships/hyperlink" Target="http://check.ege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trcmo.ru/met_mat_ege" TargetMode="External"/><Relationship Id="rId11" Type="http://schemas.openxmlformats.org/officeDocument/2006/relationships/hyperlink" Target="https://astrcmo.ru/ege_training" TargetMode="External"/><Relationship Id="rId5" Type="http://schemas.openxmlformats.org/officeDocument/2006/relationships/hyperlink" Target="https://astrcmo.ru/regulationsege" TargetMode="External"/><Relationship Id="rId10" Type="http://schemas.openxmlformats.org/officeDocument/2006/relationships/hyperlink" Target="https://astrcmo.ru/app" TargetMode="External"/><Relationship Id="rId4" Type="http://schemas.openxmlformats.org/officeDocument/2006/relationships/hyperlink" Target="https://checkege.rustest.ru/" TargetMode="External"/><Relationship Id="rId9" Type="http://schemas.openxmlformats.org/officeDocument/2006/relationships/hyperlink" Target="https://astrcmo.ru/wp-content/uploads/2024/05/%D0%B8%D0%BD%D1%81%D1%82%D1%80%D1%83%D0%BA%D1%86%D0%B8%D1%8F-%D0%9E%D0%9D-%D0%B2-%D0%9F%D0%9F%D0%AD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2026-05-05T05:23:00Z</dcterms:created>
  <dcterms:modified xsi:type="dcterms:W3CDTF">2026-05-05T05:24:00Z</dcterms:modified>
</cp:coreProperties>
</file>